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5A7AB" w14:textId="77777777" w:rsidR="00904682" w:rsidRPr="00AC7A48" w:rsidRDefault="00904682" w:rsidP="00904682">
      <w:pPr>
        <w:jc w:val="center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b/>
          <w:bCs/>
          <w:caps/>
          <w:color w:val="000000"/>
        </w:rPr>
        <w:t>DECLARAÇÃO DE CONFORMIDADE</w:t>
      </w:r>
    </w:p>
    <w:p w14:paraId="090E3380" w14:textId="77777777" w:rsidR="00904682" w:rsidRPr="00AC7A48" w:rsidRDefault="00904682" w:rsidP="00904682">
      <w:pPr>
        <w:jc w:val="center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b/>
          <w:bCs/>
          <w:caps/>
          <w:color w:val="000000"/>
        </w:rPr>
        <w:t>DA MINUTA DE CONTRATO</w:t>
      </w:r>
    </w:p>
    <w:p w14:paraId="00DA6A07" w14:textId="77777777" w:rsidR="00904682" w:rsidRPr="00AC7A48" w:rsidRDefault="00904682" w:rsidP="00904682">
      <w:pPr>
        <w:jc w:val="center"/>
        <w:rPr>
          <w:color w:val="000000"/>
          <w:sz w:val="27"/>
          <w:szCs w:val="27"/>
        </w:rPr>
      </w:pPr>
      <w:r w:rsidRPr="00AC7A48">
        <w:rPr>
          <w:color w:val="000000"/>
          <w:sz w:val="27"/>
          <w:szCs w:val="27"/>
        </w:rPr>
        <w:t> </w:t>
      </w:r>
    </w:p>
    <w:p w14:paraId="56224EAE" w14:textId="77777777" w:rsidR="00904682" w:rsidRPr="00AC7A48" w:rsidRDefault="00904682" w:rsidP="00904682">
      <w:pPr>
        <w:spacing w:before="100" w:beforeAutospacing="1" w:after="100" w:afterAutospacing="1"/>
        <w:jc w:val="center"/>
        <w:rPr>
          <w:color w:val="000000"/>
          <w:sz w:val="27"/>
          <w:szCs w:val="27"/>
        </w:rPr>
      </w:pPr>
      <w:r w:rsidRPr="00AC7A48">
        <w:rPr>
          <w:color w:val="000000"/>
          <w:sz w:val="27"/>
          <w:szCs w:val="27"/>
        </w:rPr>
        <w:t> </w:t>
      </w:r>
    </w:p>
    <w:p w14:paraId="7D3155A1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color w:val="000000"/>
        </w:rPr>
        <w:t>DECLARO A CONFORMIDADE, sob as penas que a lei impõe, da minuta de Contrato, por mim elaborada com a minuta-padrão estabelecida pela Procuradoria Geral do Estado por meio da Resolução PGE nº 5029/2024 (P-01/24) e suas atualizações divulgadas até a presente data, bem como que somente promovi as alterações, acréscimos e supressões descritos e justificados conforme abaixo:</w:t>
      </w:r>
    </w:p>
    <w:p w14:paraId="68AF06C9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color w:val="000000"/>
          <w:sz w:val="27"/>
          <w:szCs w:val="27"/>
        </w:rPr>
        <w:t> </w:t>
      </w:r>
    </w:p>
    <w:p w14:paraId="1DA42C41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color w:val="000000"/>
        </w:rPr>
        <w:t xml:space="preserve">1 – Na ementa foi inserido o objeto do contrato e o órgão </w:t>
      </w:r>
      <w:proofErr w:type="spellStart"/>
      <w:r w:rsidRPr="00AC7A48">
        <w:rPr>
          <w:rFonts w:ascii="Bookman Old Style" w:hAnsi="Bookman Old Style"/>
          <w:color w:val="000000"/>
        </w:rPr>
        <w:t>credenciante</w:t>
      </w:r>
      <w:proofErr w:type="spellEnd"/>
      <w:r w:rsidRPr="00AC7A48">
        <w:rPr>
          <w:rFonts w:ascii="Bookman Old Style" w:hAnsi="Bookman Old Style"/>
          <w:color w:val="000000"/>
        </w:rPr>
        <w:t>;</w:t>
      </w:r>
    </w:p>
    <w:p w14:paraId="3E428E48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color w:val="000000"/>
        </w:rPr>
        <w:t>2 – No preâmbulo foi inserido o órgão, os dados do representante, bem como o número do processo SEI e a modalidade do contrato;</w:t>
      </w:r>
    </w:p>
    <w:p w14:paraId="1A5943BD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color w:val="000000"/>
        </w:rPr>
        <w:t>3 – Foi inserido na Cláusula Primeira, nos itens 1.1 e 1.2 o objeto da prestação de serviço;</w:t>
      </w:r>
    </w:p>
    <w:p w14:paraId="6D886C7E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color w:val="000000"/>
        </w:rPr>
        <w:t>4 – Na Cláusula Segunda foi inserido o prazo de vigência do contrato;</w:t>
      </w:r>
    </w:p>
    <w:p w14:paraId="25B71EE0" w14:textId="25EF5658" w:rsidR="00904682" w:rsidRDefault="0030062D" w:rsidP="00904682">
      <w:pPr>
        <w:spacing w:before="120" w:after="120"/>
        <w:ind w:right="12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5</w:t>
      </w:r>
      <w:r w:rsidR="002C28B6">
        <w:rPr>
          <w:rFonts w:ascii="Bookman Old Style" w:hAnsi="Bookman Old Style"/>
          <w:color w:val="000000"/>
        </w:rPr>
        <w:t xml:space="preserve"> </w:t>
      </w:r>
      <w:r w:rsidR="002C28B6" w:rsidRPr="00AC7A48">
        <w:rPr>
          <w:rFonts w:ascii="Bookman Old Style" w:hAnsi="Bookman Old Style"/>
          <w:color w:val="000000"/>
        </w:rPr>
        <w:t>–</w:t>
      </w:r>
      <w:r w:rsidR="00904682" w:rsidRPr="00AC7A48">
        <w:rPr>
          <w:rFonts w:ascii="Bookman Old Style" w:hAnsi="Bookman Old Style"/>
          <w:color w:val="000000"/>
        </w:rPr>
        <w:t xml:space="preserve"> </w:t>
      </w:r>
      <w:r w:rsidR="00FC481B" w:rsidRPr="00FC481B">
        <w:rPr>
          <w:rFonts w:ascii="Bookman Old Style" w:hAnsi="Bookman Old Style"/>
          <w:color w:val="000000"/>
        </w:rPr>
        <w:t>Na Cláusula Sétima, houve uma modificação substancial, substituindo-se a modalidade de repactuação pela de reajuste. Essa alteração foi realizada em consonância com as diretrizes estabelecidas no termo de referência, que especifica o uso dos índices EMOP e IPCA para a aplicação do reajuste contratual.</w:t>
      </w:r>
    </w:p>
    <w:p w14:paraId="21421621" w14:textId="74E9F2AE" w:rsidR="002C28B6" w:rsidRDefault="0030062D" w:rsidP="00904682">
      <w:pPr>
        <w:spacing w:before="120" w:after="120"/>
        <w:ind w:right="120"/>
        <w:jc w:val="both"/>
        <w:rPr>
          <w:color w:val="000000"/>
        </w:rPr>
      </w:pPr>
      <w:r>
        <w:rPr>
          <w:color w:val="000000"/>
          <w:sz w:val="27"/>
          <w:szCs w:val="27"/>
        </w:rPr>
        <w:t>6</w:t>
      </w:r>
      <w:r w:rsidR="002C28B6">
        <w:rPr>
          <w:color w:val="000000"/>
          <w:sz w:val="27"/>
          <w:szCs w:val="27"/>
        </w:rPr>
        <w:t xml:space="preserve"> – </w:t>
      </w:r>
      <w:r>
        <w:rPr>
          <w:color w:val="000000"/>
          <w:sz w:val="27"/>
          <w:szCs w:val="27"/>
        </w:rPr>
        <w:t>A exclusão</w:t>
      </w:r>
      <w:r w:rsidR="002C28B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dos subitens </w:t>
      </w:r>
      <w:r w:rsidR="002C28B6">
        <w:rPr>
          <w:color w:val="000000"/>
        </w:rPr>
        <w:t>7.3.1 a 7.9, 7.13 a 7.15 e 7.20</w:t>
      </w:r>
      <w:r>
        <w:rPr>
          <w:color w:val="000000"/>
        </w:rPr>
        <w:t>, trata-se de mãe de obra alocada exclusiva.</w:t>
      </w:r>
    </w:p>
    <w:p w14:paraId="07C6A424" w14:textId="5634A05B" w:rsidR="0030062D" w:rsidRPr="00AC7A48" w:rsidRDefault="0030062D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 – Os subitens 7.2 e 13.1 foram modificados para adequação do termo de </w:t>
      </w:r>
      <w:r w:rsidRPr="00FC481B">
        <w:rPr>
          <w:rFonts w:ascii="Bookman Old Style" w:hAnsi="Bookman Old Style"/>
          <w:color w:val="000000"/>
        </w:rPr>
        <w:t>referência</w:t>
      </w:r>
      <w:r>
        <w:rPr>
          <w:rFonts w:ascii="Bookman Old Style" w:hAnsi="Bookman Old Style"/>
          <w:color w:val="000000"/>
        </w:rPr>
        <w:t>.</w:t>
      </w:r>
    </w:p>
    <w:p w14:paraId="7D285003" w14:textId="4FF4E3B2" w:rsidR="00904682" w:rsidRDefault="0030062D" w:rsidP="00904682">
      <w:pPr>
        <w:spacing w:before="120" w:after="120"/>
        <w:ind w:right="12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8</w:t>
      </w:r>
      <w:bookmarkStart w:id="0" w:name="_GoBack"/>
      <w:bookmarkEnd w:id="0"/>
      <w:r w:rsidR="00904682" w:rsidRPr="00AC7A48">
        <w:rPr>
          <w:rFonts w:ascii="Bookman Old Style" w:hAnsi="Bookman Old Style"/>
          <w:color w:val="000000"/>
        </w:rPr>
        <w:t xml:space="preserve"> – Foram suprimidos todos os itens da Cláusula Sétima e colocada uma nova redação conforme TR;</w:t>
      </w:r>
    </w:p>
    <w:p w14:paraId="24929371" w14:textId="77777777" w:rsidR="00FC481B" w:rsidRPr="00AC7A48" w:rsidRDefault="00FC481B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</w:p>
    <w:p w14:paraId="626B30C6" w14:textId="77777777" w:rsidR="00FC481B" w:rsidRDefault="00FC481B" w:rsidP="00904682">
      <w:pPr>
        <w:spacing w:before="120" w:after="120"/>
        <w:ind w:right="120"/>
        <w:jc w:val="center"/>
        <w:rPr>
          <w:rFonts w:ascii="Bookman Old Style" w:hAnsi="Bookman Old Style"/>
          <w:b/>
          <w:bCs/>
          <w:i/>
          <w:iCs/>
          <w:color w:val="000000"/>
        </w:rPr>
      </w:pPr>
      <w:r>
        <w:rPr>
          <w:rFonts w:ascii="Bookman Old Style" w:hAnsi="Bookman Old Style"/>
          <w:b/>
          <w:bCs/>
          <w:i/>
          <w:iCs/>
          <w:color w:val="000000"/>
        </w:rPr>
        <w:t>Jonathan Chaia Ramos</w:t>
      </w:r>
    </w:p>
    <w:p w14:paraId="0426BEE5" w14:textId="1B231248" w:rsidR="00FC481B" w:rsidRDefault="00FC481B" w:rsidP="00904682">
      <w:pPr>
        <w:spacing w:before="120" w:after="120"/>
        <w:ind w:right="120"/>
        <w:jc w:val="center"/>
        <w:rPr>
          <w:rFonts w:ascii="Bookman Old Style" w:hAnsi="Bookman Old Style"/>
          <w:b/>
          <w:bCs/>
          <w:i/>
          <w:iCs/>
          <w:color w:val="000000"/>
        </w:rPr>
      </w:pPr>
      <w:r>
        <w:rPr>
          <w:rFonts w:ascii="Bookman Old Style" w:hAnsi="Bookman Old Style"/>
          <w:b/>
          <w:bCs/>
          <w:i/>
          <w:iCs/>
          <w:color w:val="000000"/>
        </w:rPr>
        <w:t>Assessor III</w:t>
      </w:r>
    </w:p>
    <w:p w14:paraId="16FF862D" w14:textId="310FA252" w:rsidR="00904682" w:rsidRDefault="00904682" w:rsidP="00904682">
      <w:pPr>
        <w:spacing w:before="120" w:after="120"/>
        <w:ind w:right="120"/>
        <w:jc w:val="center"/>
        <w:rPr>
          <w:rFonts w:ascii="Bookman Old Style" w:hAnsi="Bookman Old Style"/>
          <w:i/>
          <w:iCs/>
          <w:color w:val="000000"/>
        </w:rPr>
      </w:pPr>
      <w:r w:rsidRPr="00AC7A48">
        <w:rPr>
          <w:rFonts w:ascii="Bookman Old Style" w:hAnsi="Bookman Old Style"/>
          <w:i/>
          <w:iCs/>
          <w:color w:val="000000"/>
        </w:rPr>
        <w:t xml:space="preserve">ID nº </w:t>
      </w:r>
      <w:r w:rsidR="00FC481B">
        <w:rPr>
          <w:rFonts w:ascii="Bookman Old Style" w:hAnsi="Bookman Old Style"/>
          <w:i/>
          <w:iCs/>
          <w:color w:val="000000"/>
        </w:rPr>
        <w:t>5073536-5</w:t>
      </w:r>
    </w:p>
    <w:p w14:paraId="3E792C98" w14:textId="151C15EE" w:rsidR="0030062D" w:rsidRDefault="0030062D"/>
    <w:p w14:paraId="46750BD8" w14:textId="2E4CAA44" w:rsidR="0030062D" w:rsidRPr="00FA3203" w:rsidRDefault="0030062D" w:rsidP="0030062D">
      <w:pPr>
        <w:spacing w:before="120" w:after="120" w:line="288" w:lineRule="auto"/>
        <w:contextualSpacing/>
        <w:jc w:val="both"/>
      </w:pPr>
    </w:p>
    <w:p w14:paraId="7A529764" w14:textId="77777777" w:rsidR="0030062D" w:rsidRDefault="0030062D"/>
    <w:sectPr w:rsidR="003006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82"/>
    <w:rsid w:val="002C28B6"/>
    <w:rsid w:val="0030062D"/>
    <w:rsid w:val="00713AA1"/>
    <w:rsid w:val="00776F16"/>
    <w:rsid w:val="00904682"/>
    <w:rsid w:val="00C64CCB"/>
    <w:rsid w:val="00FC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0888"/>
  <w15:chartTrackingRefBased/>
  <w15:docId w15:val="{888AEA29-EF4D-4560-8530-0D106E9F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046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046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0468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0468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0468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0468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468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0468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0468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046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046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046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046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0468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046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468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046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046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04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904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0468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904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0468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90468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0468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90468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046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0468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046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Ramos</dc:creator>
  <cp:keywords/>
  <dc:description/>
  <cp:lastModifiedBy>Jonathan Chaia Ramos</cp:lastModifiedBy>
  <cp:revision>2</cp:revision>
  <dcterms:created xsi:type="dcterms:W3CDTF">2024-04-25T13:06:00Z</dcterms:created>
  <dcterms:modified xsi:type="dcterms:W3CDTF">2024-05-27T19:58:00Z</dcterms:modified>
</cp:coreProperties>
</file>